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Fairbanks Community Coalition</w:t>
      </w:r>
    </w:p>
    <w:p>
      <w:pPr/>
      <w:r>
        <w:rPr>
          <w:color w:val="6B6B66"/>
          <w:sz w:val="20"/>
          <w:szCs w:val="20"/>
        </w:rPr>
        <w:t xml:space="preserve">Grant Opportunities Report -- July 31, 2026</w:t>
      </w:r>
    </w:p>
    <w:p/>
    <w:p>
      <w:pPr/>
      <w:r>
        <w:rPr>
          <w:color w:val="185FA5"/>
          <w:sz w:val="26"/>
          <w:szCs w:val="26"/>
          <w:b w:val="1"/>
          <w:bCs w:val="1"/>
        </w:rPr>
        <w:t xml:space="preserve">Housing</w:t>
      </w:r>
    </w:p>
    <w:p/>
    <w:p>
      <w:pPr/>
      <w:r>
        <w:rPr>
          <w:sz w:val="22"/>
          <w:szCs w:val="22"/>
          <w:b w:val="1"/>
          <w:bCs w:val="1"/>
        </w:rPr>
        <w:t xml:space="preserve">Community Services Block Grant (CSBG) Tribal Capacity Building Training and Technical Assistance (TCBTTA)</w:t>
      </w:r>
    </w:p>
    <w:p>
      <w:pPr/>
      <w:r>
        <w:rPr>
          <w:sz w:val="20"/>
          <w:szCs w:val="20"/>
        </w:rPr>
        <w:t xml:space="preserve">Agency: Administration for Children and Families - OCS</w:t>
      </w:r>
    </w:p>
    <w:p>
      <w:pPr/>
      <w:r>
        <w:rPr>
          <w:sz w:val="20"/>
          <w:szCs w:val="20"/>
        </w:rPr>
        <w:t xml:space="preserve">Deadline: August 24, 2026</w:t>
      </w:r>
    </w:p>
    <w:p>
      <w:pPr/>
      <w:r>
        <w:rPr>
          <w:sz w:val="20"/>
          <w:szCs w:val="20"/>
        </w:rPr>
        <w:t xml:space="preserve">Award: $500,000</w:t>
      </w:r>
    </w:p>
    <w:p>
      <w:pPr/>
      <w:r>
        <w:rPr>
          <w:sz w:val="20"/>
          <w:szCs w:val="20"/>
        </w:rPr>
        <w:t xml:space="preserve">The Community Services Block Grant (CSBG) Tribal Capacity Building Training and Technical Assistance (TCBTTA) project intends to support one organization to help build tribal and tribal organization capacity within CSBG. This cooperative agreement addresses a critical gap in CSBG infrastructure: the absence of tailored training and technical assistance for tribal grant recipients. By receiving dedicated resources for capacity‐building, tribes and tribal organizations will be better equipped to a...</w:t>
      </w:r>
    </w:p>
    <w:p>
      <w:hyperlink r:id="rId7" w:history="1">
        <w:r>
          <w:rPr>
            <w:color w:val="185FA5"/>
            <w:sz w:val="20"/>
            <w:szCs w:val="20"/>
            <w:u w:val="single"/>
          </w:rPr>
          <w:t xml:space="preserve">View full opportunity</w:t>
        </w:r>
      </w:hyperlink>
    </w:p>
    <w:p/>
    <w:p/>
    <w:sectPr>
      <w:pgSz w:orient="portrait" w:w="11905.511811023622" w:h="16837.79527559055"/>
      <w:pgMar w:top="900" w:right="900" w:bottom="1440" w:left="9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rants.gov/search-results-detail/3620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2026-07-31T23:20:02+00:00</dcterms:created>
  <dcterms:modified xsi:type="dcterms:W3CDTF">2026-07-31T23:20:02+00:00</dcterms:modified>
</cp:coreProperties>
</file>

<file path=docProps/custom.xml><?xml version="1.0" encoding="utf-8"?>
<Properties xmlns="http://schemas.openxmlformats.org/officeDocument/2006/custom-properties" xmlns:vt="http://schemas.openxmlformats.org/officeDocument/2006/docPropsVTypes"/>
</file>